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color w:val="64748B"/>
          <w:sz w:val="18"/>
          <w:szCs w:val="18"/>
        </w:rPr>
        <w:t xml:space="preserve">[Nom de l'entreprise] · Service des finances</w:t>
      </w:r>
    </w:p>
    <w:p>
      <w:pPr>
        <w:pStyle w:val="Heading1"/>
      </w:pPr>
      <w:r>
        <w:t xml:space="preserve">Politique d'utilisation de l'IA générative au service des finances</w:t>
      </w:r>
    </w:p>
    <w:p>
      <w:pPr>
        <w:spacing w:after="100"/>
      </w:pPr>
      <w:r>
        <w:rPr>
          <w:color w:val="64748B"/>
          <w:sz w:val="18"/>
          <w:szCs w:val="18"/>
        </w:rPr>
        <w:t xml:space="preserve">Version 1.0 · Approuvée par [instance] le [date] · Responsable : [titre]</w:t>
      </w:r>
    </w:p>
    <w:p>
      <w:pPr>
        <w:pStyle w:val="Heading2"/>
      </w:pPr>
      <w:r>
        <w:t xml:space="preserve">1. Objet et portée</w:t>
      </w:r>
    </w:p>
    <w:p>
      <w:pPr>
        <w:spacing w:after="100"/>
      </w:pPr>
      <w:r>
        <w:t xml:space="preserve">La présente politique encadre l'utilisation d'outils d'intelligence artificielle générative, dont Claude, par les employés et consultants du service des finances. Elle s'applique à toute tâche comptable, financière, fiscale ou de reporting.</w:t>
      </w:r>
    </w:p>
    <w:p>
      <w:pPr>
        <w:pStyle w:val="Heading2"/>
      </w:pPr>
      <w:r>
        <w:t xml:space="preserve">2. Principe directeur</w:t>
      </w:r>
    </w:p>
    <w:p>
      <w:pPr>
        <w:spacing w:after="100"/>
      </w:pPr>
      <w:r>
        <w:rPr>
          <w:b/>
          <w:bCs/>
        </w:rPr>
        <w:t xml:space="preserve">L'outil prépare, un humain autorisé signe. Aucun livrable préparé avec l'IA ne quitte le service sans avoir été révisé par une personne qui en assume la responsabilité.</w:t>
      </w:r>
    </w:p>
    <w:p>
      <w:pPr>
        <w:pStyle w:val="Heading2"/>
      </w:pPr>
      <w:r>
        <w:t xml:space="preserve">3. Outils autorisés</w:t>
      </w:r>
    </w:p>
    <w:p>
      <w:pPr>
        <w:pStyle w:val="ListParagraph"/>
        <w:numPr>
          <w:ilvl w:val="0"/>
          <w:numId w:val="2"/>
        </w:numPr>
        <w:spacing w:after="60"/>
      </w:pPr>
      <w:r>
        <w:t xml:space="preserve">Uniquement le forfait d'entreprise [Claude Team ou Enterprise] géré par [TI].</w:t>
      </w:r>
    </w:p>
    <w:p>
      <w:pPr>
        <w:pStyle w:val="ListParagraph"/>
        <w:numPr>
          <w:ilvl w:val="0"/>
          <w:numId w:val="2"/>
        </w:numPr>
        <w:spacing w:after="60"/>
      </w:pPr>
      <w:r>
        <w:t xml:space="preserve">L'utilisation de comptes gratuits ou personnels pour des données de l'entreprise est interdite.</w:t>
      </w:r>
    </w:p>
    <w:p>
      <w:pPr>
        <w:pStyle w:val="ListParagraph"/>
        <w:numPr>
          <w:ilvl w:val="0"/>
          <w:numId w:val="2"/>
        </w:numPr>
        <w:spacing w:after="60"/>
      </w:pPr>
      <w:r>
        <w:t xml:space="preserve">Les compléments Office et les connecteurs sont activés par l'administrateur seulement.</w:t>
      </w:r>
    </w:p>
    <w:p>
      <w:pPr>
        <w:pStyle w:val="Heading2"/>
      </w:pPr>
      <w:r>
        <w:t xml:space="preserve">4. Classification des données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560"/>
        <w:gridCol w:w="3000"/>
      </w:tblGrid>
      <w:tr>
        <w:tc>
          <w:tcPr>
            <w:tcW w:type="dxa" w:w="1800"/>
            <w:shd w:fill="E6F8F9" w:color="auto" w:val="clear"/>
            <w:tcMar>
              <w:top w:type="dxa" w:w="60"/>
              <w:left w:type="dxa" w:w="100"/>
              <w:bottom w:type="dxa" w:w="60"/>
              <w:right w:type="dxa" w:w="100"/>
            </w:tcMar>
          </w:tcPr>
          <w:p>
            <w:r>
              <w:rPr>
                <w:b/>
                <w:bCs/>
                <w:sz w:val="19"/>
                <w:szCs w:val="19"/>
              </w:rPr>
              <w:t xml:space="preserve">Catégorie</w:t>
            </w:r>
          </w:p>
        </w:tc>
        <w:tc>
          <w:tcPr>
            <w:tcW w:type="dxa" w:w="4560"/>
            <w:shd w:fill="E6F8F9" w:color="auto" w:val="clear"/>
            <w:tcMar>
              <w:top w:type="dxa" w:w="60"/>
              <w:left w:type="dxa" w:w="100"/>
              <w:bottom w:type="dxa" w:w="60"/>
              <w:right w:type="dxa" w:w="100"/>
            </w:tcMar>
          </w:tcPr>
          <w:p>
            <w:r>
              <w:rPr>
                <w:b/>
                <w:bCs/>
                <w:sz w:val="19"/>
                <w:szCs w:val="19"/>
              </w:rPr>
              <w:t xml:space="preserve">Exemples</w:t>
            </w:r>
          </w:p>
        </w:tc>
        <w:tc>
          <w:tcPr>
            <w:tcW w:type="dxa" w:w="3000"/>
            <w:shd w:fill="E6F8F9" w:color="auto" w:val="clear"/>
            <w:tcMar>
              <w:top w:type="dxa" w:w="60"/>
              <w:left w:type="dxa" w:w="100"/>
              <w:bottom w:type="dxa" w:w="60"/>
              <w:right w:type="dxa" w:w="100"/>
            </w:tcMar>
          </w:tcPr>
          <w:p>
            <w:r>
              <w:rPr>
                <w:b/>
                <w:bCs/>
                <w:sz w:val="19"/>
                <w:szCs w:val="19"/>
              </w:rPr>
              <w:t xml:space="preserve">Utilisation</w:t>
            </w:r>
          </w:p>
        </w:tc>
      </w:tr>
      <w:tr>
        <w:tc>
          <w:tcPr>
            <w:tcW w:type="dxa" w:w="1800"/>
            <w:tcMar>
              <w:top w:type="dxa" w:w="60"/>
              <w:left w:type="dxa" w:w="100"/>
              <w:bottom w:type="dxa" w:w="60"/>
              <w:right w:type="dxa" w:w="100"/>
            </w:tcMar>
          </w:tcPr>
          <w:p>
            <w:r>
              <w:rPr>
                <w:b w:val="false"/>
                <w:bCs w:val="false"/>
                <w:sz w:val="19"/>
                <w:szCs w:val="19"/>
              </w:rPr>
              <w:t xml:space="preserve">Courantes</w:t>
            </w:r>
          </w:p>
        </w:tc>
        <w:tc>
          <w:tcPr>
            <w:tcW w:type="dxa" w:w="4560"/>
            <w:tcMar>
              <w:top w:type="dxa" w:w="60"/>
              <w:left w:type="dxa" w:w="100"/>
              <w:bottom w:type="dxa" w:w="60"/>
              <w:right w:type="dxa" w:w="100"/>
            </w:tcMar>
          </w:tcPr>
          <w:p>
            <w:r>
              <w:rPr>
                <w:b w:val="false"/>
                <w:bCs w:val="false"/>
                <w:sz w:val="19"/>
                <w:szCs w:val="19"/>
              </w:rPr>
              <w:t xml:space="preserve">Balances, états, budgets, factures fournisseurs, politiques</w:t>
            </w:r>
          </w:p>
        </w:tc>
        <w:tc>
          <w:tcPr>
            <w:tcW w:type="dxa" w:w="3000"/>
            <w:tcMar>
              <w:top w:type="dxa" w:w="60"/>
              <w:left w:type="dxa" w:w="100"/>
              <w:bottom w:type="dxa" w:w="60"/>
              <w:right w:type="dxa" w:w="100"/>
            </w:tcMar>
          </w:tcPr>
          <w:p>
            <w:r>
              <w:rPr>
                <w:b w:val="false"/>
                <w:bCs w:val="false"/>
                <w:sz w:val="19"/>
                <w:szCs w:val="19"/>
              </w:rPr>
              <w:t xml:space="preserve">Permise dans le forfait d'entreprise</w:t>
            </w:r>
          </w:p>
        </w:tc>
      </w:tr>
      <w:tr>
        <w:tc>
          <w:tcPr>
            <w:tcW w:type="dxa" w:w="1800"/>
            <w:tcMar>
              <w:top w:type="dxa" w:w="60"/>
              <w:left w:type="dxa" w:w="100"/>
              <w:bottom w:type="dxa" w:w="60"/>
              <w:right w:type="dxa" w:w="100"/>
            </w:tcMar>
          </w:tcPr>
          <w:p>
            <w:r>
              <w:rPr>
                <w:b w:val="false"/>
                <w:bCs w:val="false"/>
                <w:sz w:val="19"/>
                <w:szCs w:val="19"/>
              </w:rPr>
              <w:t xml:space="preserve">Sensibles</w:t>
            </w:r>
          </w:p>
        </w:tc>
        <w:tc>
          <w:tcPr>
            <w:tcW w:type="dxa" w:w="4560"/>
            <w:tcMar>
              <w:top w:type="dxa" w:w="60"/>
              <w:left w:type="dxa" w:w="100"/>
              <w:bottom w:type="dxa" w:w="60"/>
              <w:right w:type="dxa" w:w="100"/>
            </w:tcMar>
          </w:tcPr>
          <w:p>
            <w:r>
              <w:rPr>
                <w:b w:val="false"/>
                <w:bCs w:val="false"/>
                <w:sz w:val="19"/>
                <w:szCs w:val="19"/>
              </w:rPr>
              <w:t xml:space="preserve">Paie agrégée, résultats non publiés, dossiers de financement, clients nommés</w:t>
            </w:r>
          </w:p>
        </w:tc>
        <w:tc>
          <w:tcPr>
            <w:tcW w:type="dxa" w:w="3000"/>
            <w:tcMar>
              <w:top w:type="dxa" w:w="60"/>
              <w:left w:type="dxa" w:w="100"/>
              <w:bottom w:type="dxa" w:w="60"/>
              <w:right w:type="dxa" w:w="100"/>
            </w:tcMar>
          </w:tcPr>
          <w:p>
            <w:r>
              <w:rPr>
                <w:b w:val="false"/>
                <w:bCs w:val="false"/>
                <w:sz w:val="19"/>
                <w:szCs w:val="19"/>
              </w:rPr>
              <w:t xml:space="preserve">Permise, accès restreint, selon le besoin</w:t>
            </w:r>
          </w:p>
        </w:tc>
      </w:tr>
      <w:tr>
        <w:tc>
          <w:tcPr>
            <w:tcW w:type="dxa" w:w="1800"/>
            <w:tcMar>
              <w:top w:type="dxa" w:w="60"/>
              <w:left w:type="dxa" w:w="100"/>
              <w:bottom w:type="dxa" w:w="60"/>
              <w:right w:type="dxa" w:w="100"/>
            </w:tcMar>
          </w:tcPr>
          <w:p>
            <w:r>
              <w:rPr>
                <w:b w:val="false"/>
                <w:bCs w:val="false"/>
                <w:sz w:val="19"/>
                <w:szCs w:val="19"/>
              </w:rPr>
              <w:t xml:space="preserve">Interdites</w:t>
            </w:r>
          </w:p>
        </w:tc>
        <w:tc>
          <w:tcPr>
            <w:tcW w:type="dxa" w:w="4560"/>
            <w:tcMar>
              <w:top w:type="dxa" w:w="60"/>
              <w:left w:type="dxa" w:w="100"/>
              <w:bottom w:type="dxa" w:w="60"/>
              <w:right w:type="dxa" w:w="100"/>
            </w:tcMar>
          </w:tcPr>
          <w:p>
            <w:r>
              <w:rPr>
                <w:b w:val="false"/>
                <w:bCs w:val="false"/>
                <w:sz w:val="19"/>
                <w:szCs w:val="19"/>
              </w:rPr>
              <w:t xml:space="preserve">NAS, numéros de compte complets, renseignements de santé, paie nominative détaillée, mots de passe</w:t>
            </w:r>
          </w:p>
        </w:tc>
        <w:tc>
          <w:tcPr>
            <w:tcW w:type="dxa" w:w="3000"/>
            <w:tcMar>
              <w:top w:type="dxa" w:w="60"/>
              <w:left w:type="dxa" w:w="100"/>
              <w:bottom w:type="dxa" w:w="60"/>
              <w:right w:type="dxa" w:w="100"/>
            </w:tcMar>
          </w:tcPr>
          <w:p>
            <w:r>
              <w:rPr>
                <w:b w:val="false"/>
                <w:bCs w:val="false"/>
                <w:sz w:val="19"/>
                <w:szCs w:val="19"/>
              </w:rPr>
              <w:t xml:space="preserve">Jamais; anonymiser ou retirer avant usage</w:t>
            </w:r>
          </w:p>
        </w:tc>
      </w:tr>
    </w:tbl>
    <w:p>
      <w:pPr>
        <w:pStyle w:val="Heading2"/>
      </w:pPr>
      <w:r>
        <w:t xml:space="preserve">5. Activités permises, encadrées et interdites</w:t>
      </w:r>
    </w:p>
    <w:p>
      <w:pPr>
        <w:pStyle w:val="ListParagraph"/>
        <w:numPr>
          <w:ilvl w:val="0"/>
          <w:numId w:val="2"/>
        </w:numPr>
        <w:spacing w:after="60"/>
      </w:pPr>
      <w:r>
        <w:t xml:space="preserve">Permises : analyses, conciliations, rédaction, audit de modèles, préparation de dossiers.</w:t>
      </w:r>
    </w:p>
    <w:p>
      <w:pPr>
        <w:pStyle w:val="ListParagraph"/>
        <w:numPr>
          <w:ilvl w:val="0"/>
          <w:numId w:val="2"/>
        </w:numPr>
        <w:spacing w:after="60"/>
      </w:pPr>
      <w:r>
        <w:t xml:space="preserve">Encadrées : propositions d'écritures (saisie humaine), brouillons de courriels externes (envoi humain), tâches planifiées (vérifiées lors des trois premières exécutions).</w:t>
      </w:r>
    </w:p>
    <w:p>
      <w:pPr>
        <w:pStyle w:val="ListParagraph"/>
        <w:numPr>
          <w:ilvl w:val="0"/>
          <w:numId w:val="2"/>
        </w:numPr>
        <w:spacing w:after="60"/>
      </w:pPr>
      <w:r>
        <w:t xml:space="preserve">Interdites : passer des écritures, approuver ou effectuer des paiements, déposer des déclarations, porter seul un jugement comptable.</w:t>
      </w:r>
    </w:p>
    <w:p>
      <w:pPr>
        <w:pStyle w:val="Heading2"/>
      </w:pPr>
      <w:r>
        <w:t xml:space="preserve">6. Révision et documentation</w:t>
      </w:r>
    </w:p>
    <w:p>
      <w:pPr>
        <w:spacing w:after="100"/>
      </w:pPr>
      <w:r>
        <w:t xml:space="preserve">Tout livrable qui appuie un solde, une décision ou une communication externe fait l'objet des 5 contrôles : recouper, retracer, recalculer, raisonner, répertorier. Le prompt, la version des fichiers et la liste des modifications sont conservés au dossier.</w:t>
      </w:r>
    </w:p>
    <w:p>
      <w:pPr>
        <w:pStyle w:val="Heading2"/>
      </w:pPr>
      <w:r>
        <w:t xml:space="preserve">7. Connecteurs</w:t>
      </w:r>
    </w:p>
    <w:p>
      <w:pPr>
        <w:spacing w:after="100"/>
      </w:pPr>
      <w:r>
        <w:t xml:space="preserve">Les connecteurs aux systèmes comptables, bancaires et de paiement sont configurés en lecture seule. Toute exception est approuvée par [CFO] et [TI].</w:t>
      </w:r>
    </w:p>
    <w:p>
      <w:pPr>
        <w:pStyle w:val="Heading2"/>
      </w:pPr>
      <w:r>
        <w:t xml:space="preserve">8. Renseignements personnels</w:t>
      </w:r>
    </w:p>
    <w:p>
      <w:pPr>
        <w:spacing w:after="100"/>
      </w:pPr>
      <w:r>
        <w:t xml:space="preserve">L'utilisation respecte la Loi sur la protection des renseignements personnels dans le secteur privé (Loi 25). La personne responsable de la protection des renseignements personnels est consultée avant tout nouvel usage impliquant des renseignements personnels.</w:t>
      </w:r>
    </w:p>
    <w:p>
      <w:pPr>
        <w:pStyle w:val="Heading2"/>
      </w:pPr>
      <w:r>
        <w:t xml:space="preserve">9. Fichiers externes</w:t>
      </w:r>
    </w:p>
    <w:p>
      <w:pPr>
        <w:spacing w:after="100"/>
      </w:pPr>
      <w:r>
        <w:t xml:space="preserve">Les fichiers provenant de tiers peuvent contenir des instructions cachées. Ils sont ouverts sur une copie, et toute demande de confirmation de l'outil est lue attentivement.</w:t>
      </w:r>
    </w:p>
    <w:p>
      <w:pPr>
        <w:pStyle w:val="Heading2"/>
      </w:pPr>
      <w:r>
        <w:t xml:space="preserve">10. Incidents, formation et révision</w:t>
      </w:r>
    </w:p>
    <w:p>
      <w:pPr>
        <w:pStyle w:val="ListParagraph"/>
        <w:numPr>
          <w:ilvl w:val="0"/>
          <w:numId w:val="2"/>
        </w:numPr>
        <w:spacing w:after="60"/>
      </w:pPr>
      <w:r>
        <w:t xml:space="preserve">Tout incident (donnée interdite partagée, erreur ayant quitté le service) est signalé à [responsable] dans les 24 heures.</w:t>
      </w:r>
    </w:p>
    <w:p>
      <w:pPr>
        <w:pStyle w:val="ListParagraph"/>
        <w:numPr>
          <w:ilvl w:val="0"/>
          <w:numId w:val="2"/>
        </w:numPr>
        <w:spacing w:after="60"/>
      </w:pPr>
      <w:r>
        <w:t xml:space="preserve">Chaque utilisateur suit la formation de base avant d'obtenir l'accès.</w:t>
      </w:r>
    </w:p>
    <w:p>
      <w:pPr>
        <w:pStyle w:val="ListParagraph"/>
        <w:numPr>
          <w:ilvl w:val="0"/>
          <w:numId w:val="2"/>
        </w:numPr>
        <w:spacing w:after="60"/>
      </w:pPr>
      <w:r>
        <w:t xml:space="preserve">La politique est révisée annuellement et présentée au comité d'audit.</w:t>
      </w:r>
    </w:p>
    <w:sectPr>
      <w:pgSz w:w="12240" w:h="15840"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b/>
      <w:bCs/>
      <w:color w:val="1E293B"/>
      <w:sz w:val="32"/>
      <w:szCs w:val="32"/>
    </w:rPr>
  </w:style>
  <w:style w:type="paragraph" w:styleId="Heading2">
    <w:name w:val="Heading 2"/>
    <w:basedOn w:val="Normal"/>
    <w:next w:val="Normal"/>
    <w:qFormat/>
    <w:pPr>
      <w:spacing w:after="80" w:before="220"/>
      <w:outlineLvl w:val="1"/>
    </w:pPr>
    <w:rPr>
      <w:b/>
      <w:bCs/>
      <w:color w:val="017B81"/>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2026-09-22T18:05:53.252Z</dcterms:created>
  <dcterms:modified xsi:type="dcterms:W3CDTF">2026-09-22T18:05:53.253Z</dcterms:modified>
</cp:coreProperties>
</file>

<file path=docProps/custom.xml><?xml version="1.0" encoding="utf-8"?>
<Properties xmlns="http://schemas.openxmlformats.org/officeDocument/2006/custom-properties" xmlns:vt="http://schemas.openxmlformats.org/officeDocument/2006/docPropsVTypes"/>
</file>